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AC" w:rsidRDefault="00BA01AC" w:rsidP="00BA01AC">
      <w:pPr>
        <w:widowControl/>
        <w:tabs>
          <w:tab w:val="left" w:pos="748"/>
        </w:tabs>
        <w:autoSpaceDE/>
        <w:adjustRightInd/>
        <w:jc w:val="center"/>
        <w:rPr>
          <w:sz w:val="28"/>
          <w:szCs w:val="28"/>
        </w:rPr>
      </w:pPr>
      <w:r>
        <w:rPr>
          <w:b/>
          <w:sz w:val="28"/>
          <w:szCs w:val="28"/>
        </w:rPr>
        <w:t>Cleveland TGA Service Definition</w:t>
      </w:r>
    </w:p>
    <w:p w:rsidR="00BA01AC" w:rsidRDefault="00BA01AC" w:rsidP="00BA01AC">
      <w:pPr>
        <w:widowControl/>
        <w:tabs>
          <w:tab w:val="left" w:pos="1309"/>
        </w:tabs>
        <w:autoSpaceDE/>
        <w:adjustRightInd/>
        <w:ind w:left="720"/>
      </w:pPr>
    </w:p>
    <w:p w:rsidR="00AA6953" w:rsidRDefault="00AA6953" w:rsidP="00AA6953">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AA6953" w:rsidRDefault="00AA6953" w:rsidP="00AA6953">
      <w:pPr>
        <w:widowControl/>
        <w:tabs>
          <w:tab w:val="left" w:pos="1309"/>
        </w:tabs>
        <w:autoSpaceDE/>
        <w:adjustRightInd/>
        <w:ind w:left="720"/>
      </w:pPr>
    </w:p>
    <w:p w:rsidR="00AA6953" w:rsidRDefault="00AA6953" w:rsidP="00AA6953">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494ACF" w:rsidRDefault="00494ACF" w:rsidP="00494ACF">
      <w:pPr>
        <w:widowControl/>
        <w:autoSpaceDE/>
        <w:adjustRightInd/>
        <w:rPr>
          <w:b/>
          <w:u w:val="single"/>
        </w:rPr>
      </w:pPr>
    </w:p>
    <w:p w:rsidR="00494ACF" w:rsidRDefault="00494ACF" w:rsidP="00494ACF">
      <w:pPr>
        <w:widowControl/>
        <w:autoSpaceDE/>
        <w:adjustRightInd/>
        <w:rPr>
          <w:b/>
          <w:u w:val="single"/>
        </w:rPr>
      </w:pPr>
      <w:r>
        <w:rPr>
          <w:b/>
          <w:u w:val="single"/>
        </w:rPr>
        <w:t>SUPPORT SERVICES:</w:t>
      </w: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Case Management Services (non-medical)</w:t>
      </w:r>
    </w:p>
    <w:p w:rsidR="00494ACF" w:rsidRDefault="00494ACF" w:rsidP="00494ACF">
      <w:pPr>
        <w:widowControl/>
        <w:autoSpaceDE/>
        <w:adjustRightInd/>
        <w:rPr>
          <w:highlight w:val="green"/>
        </w:rPr>
      </w:pPr>
    </w:p>
    <w:p w:rsidR="00494ACF" w:rsidRDefault="00494ACF" w:rsidP="00494ACF">
      <w:pPr>
        <w:widowControl/>
        <w:autoSpaceDE/>
        <w:adjustRightInd/>
        <w:spacing w:after="200" w:line="276" w:lineRule="auto"/>
        <w:rPr>
          <w:rFonts w:eastAsia="Calibri"/>
        </w:rPr>
      </w:pPr>
      <w:proofErr w:type="gramStart"/>
      <w:r>
        <w:rPr>
          <w:rFonts w:eastAsia="Calibri"/>
        </w:rPr>
        <w:t>Includes advice and assistance in obtaining medical, social, community, legal, financial, and other needed services.</w:t>
      </w:r>
      <w:proofErr w:type="gramEnd"/>
      <w:r>
        <w:rPr>
          <w:rFonts w:eastAsia="Calibri"/>
        </w:rPr>
        <w:t xml:space="preserve"> Non-medical case management does not involve coordination and follow-up of medical treatments. </w:t>
      </w:r>
    </w:p>
    <w:p w:rsidR="00494ACF" w:rsidRDefault="00494ACF" w:rsidP="00494ACF">
      <w:pPr>
        <w:widowControl/>
        <w:rPr>
          <w:rFonts w:eastAsia="Calibri"/>
        </w:rPr>
      </w:pPr>
      <w:r>
        <w:rPr>
          <w:rFonts w:eastAsia="Calibri"/>
        </w:rPr>
        <w:t xml:space="preserve">Services may be focused on housing information and referrals to eligible PLWH/A to enable an individual to gain or maintain access to and compliance with HIV-related medical care and treatment. </w:t>
      </w:r>
    </w:p>
    <w:p w:rsidR="00494ACF" w:rsidRDefault="00494ACF" w:rsidP="00494ACF">
      <w:pPr>
        <w:widowControl/>
        <w:rPr>
          <w:rFonts w:eastAsia="Calibri"/>
        </w:rPr>
      </w:pPr>
    </w:p>
    <w:p w:rsidR="00494ACF" w:rsidRDefault="00494ACF" w:rsidP="00494ACF">
      <w:pPr>
        <w:widowControl/>
        <w:rPr>
          <w:rFonts w:eastAsia="Calibri"/>
        </w:rPr>
      </w:pPr>
      <w:r>
        <w:rPr>
          <w:rFonts w:eastAsia="Calibri"/>
        </w:rPr>
        <w:t xml:space="preserve">Services may be focused on health insurance benefits and enrollment information, assistance and referrals to eligible PLWH/A to enable an individual to gain or maintain access to and compliance with HIV-related medical care and treatment. </w:t>
      </w:r>
    </w:p>
    <w:p w:rsidR="00494ACF" w:rsidRDefault="00494ACF" w:rsidP="00494ACF">
      <w:pPr>
        <w:widowControl/>
        <w:autoSpaceDE/>
        <w:adjustRightInd/>
      </w:pPr>
      <w:r>
        <w:t xml:space="preserve"> </w:t>
      </w:r>
    </w:p>
    <w:p w:rsidR="00494ACF" w:rsidRDefault="00494ACF" w:rsidP="00494ACF">
      <w:pPr>
        <w:widowControl/>
        <w:autoSpaceDE/>
        <w:adjustRightInd/>
      </w:pPr>
      <w:r>
        <w:t>Unit of Service: 1 unit = 15 minute client encounter</w:t>
      </w:r>
    </w:p>
    <w:p w:rsidR="00494ACF" w:rsidRDefault="00AA6953" w:rsidP="00494ACF">
      <w:pPr>
        <w:widowControl/>
        <w:autoSpaceDE/>
        <w:adjustRightInd/>
      </w:pPr>
      <w:bookmarkStart w:id="0" w:name="_GoBack"/>
      <w:bookmarkEnd w:id="0"/>
      <w:r w:rsidRPr="00AA6953">
        <w:drawing>
          <wp:anchor distT="0" distB="0" distL="114300" distR="114300" simplePos="0" relativeHeight="251660288" behindDoc="1" locked="0" layoutInCell="1" allowOverlap="1" wp14:anchorId="1F717DDC" wp14:editId="5FF634EA">
            <wp:simplePos x="0" y="0"/>
            <wp:positionH relativeFrom="column">
              <wp:posOffset>5949950</wp:posOffset>
            </wp:positionH>
            <wp:positionV relativeFrom="paragraph">
              <wp:posOffset>2728595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AA6953">
        <w:drawing>
          <wp:anchor distT="0" distB="0" distL="114300" distR="114300" simplePos="0" relativeHeight="251659264" behindDoc="1" locked="0" layoutInCell="1" allowOverlap="1" wp14:anchorId="71524546" wp14:editId="7C3885CA">
            <wp:simplePos x="0" y="0"/>
            <wp:positionH relativeFrom="column">
              <wp:posOffset>4648200</wp:posOffset>
            </wp:positionH>
            <wp:positionV relativeFrom="paragraph">
              <wp:posOffset>2766695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494ACF"/>
    <w:rsid w:val="00576320"/>
    <w:rsid w:val="0057762E"/>
    <w:rsid w:val="006A73D7"/>
    <w:rsid w:val="008F15A8"/>
    <w:rsid w:val="00A14448"/>
    <w:rsid w:val="00A834E9"/>
    <w:rsid w:val="00AA6953"/>
    <w:rsid w:val="00AC5B70"/>
    <w:rsid w:val="00AE34BF"/>
    <w:rsid w:val="00B75298"/>
    <w:rsid w:val="00BA01AC"/>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11053">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cp:lastPrinted>2015-03-26T15:48:00Z</cp:lastPrinted>
  <dcterms:created xsi:type="dcterms:W3CDTF">2015-03-16T15:13:00Z</dcterms:created>
  <dcterms:modified xsi:type="dcterms:W3CDTF">2015-03-26T15:48:00Z</dcterms:modified>
</cp:coreProperties>
</file>